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136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578F69C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6A5DD6B9"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33DAC25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23.04.2026</w:t>
            </w:r>
          </w:p>
        </w:tc>
      </w:tr>
      <w:tr w:rsidR="00000000" w14:paraId="746B5DF7"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2D03589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000000" w14:paraId="788ED576"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5600D24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80</w:t>
            </w:r>
          </w:p>
        </w:tc>
      </w:tr>
      <w:tr w:rsidR="00000000" w14:paraId="08000699" w14:textId="77777777">
        <w:tblPrEx>
          <w:tblCellMar>
            <w:top w:w="0" w:type="dxa"/>
            <w:bottom w:w="0" w:type="dxa"/>
          </w:tblCellMar>
        </w:tblPrEx>
        <w:trPr>
          <w:trHeight w:val="300"/>
        </w:trPr>
        <w:tc>
          <w:tcPr>
            <w:tcW w:w="5230" w:type="dxa"/>
            <w:tcBorders>
              <w:top w:val="nil"/>
              <w:left w:val="nil"/>
              <w:bottom w:val="nil"/>
              <w:right w:val="nil"/>
            </w:tcBorders>
            <w:vAlign w:val="bottom"/>
          </w:tcPr>
          <w:p w14:paraId="1AA0058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0409E22B"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5EBAACC5" w14:textId="77777777">
        <w:tblPrEx>
          <w:tblCellMar>
            <w:top w:w="0" w:type="dxa"/>
            <w:bottom w:w="0" w:type="dxa"/>
          </w:tblCellMar>
        </w:tblPrEx>
        <w:trPr>
          <w:trHeight w:val="300"/>
        </w:trPr>
        <w:tc>
          <w:tcPr>
            <w:tcW w:w="10465" w:type="dxa"/>
            <w:tcBorders>
              <w:top w:val="nil"/>
              <w:left w:val="nil"/>
              <w:bottom w:val="nil"/>
              <w:right w:val="nil"/>
            </w:tcBorders>
            <w:vAlign w:val="bottom"/>
          </w:tcPr>
          <w:p w14:paraId="0A364326"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3A82E299"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39AF043B"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4A3BEA0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 xml:space="preserve">Голова </w:t>
            </w:r>
            <w:proofErr w:type="spellStart"/>
            <w:r>
              <w:rPr>
                <w:rFonts w:ascii="Times New Roman" w:hAnsi="Times New Roman" w:cs="Times New Roman"/>
                <w:kern w:val="0"/>
              </w:rPr>
              <w:t>правлiння</w:t>
            </w:r>
            <w:proofErr w:type="spellEnd"/>
          </w:p>
        </w:tc>
        <w:tc>
          <w:tcPr>
            <w:tcW w:w="216" w:type="dxa"/>
            <w:tcBorders>
              <w:top w:val="nil"/>
              <w:left w:val="nil"/>
              <w:bottom w:val="nil"/>
              <w:right w:val="nil"/>
            </w:tcBorders>
          </w:tcPr>
          <w:p w14:paraId="778E4F0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297AD81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68C10A0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50AA8B4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roofErr w:type="spellStart"/>
            <w:r>
              <w:rPr>
                <w:rFonts w:ascii="Times New Roman" w:hAnsi="Times New Roman" w:cs="Times New Roman"/>
                <w:kern w:val="0"/>
              </w:rPr>
              <w:t>Прiнко</w:t>
            </w:r>
            <w:proofErr w:type="spellEnd"/>
            <w:r>
              <w:rPr>
                <w:rFonts w:ascii="Times New Roman" w:hAnsi="Times New Roman" w:cs="Times New Roman"/>
                <w:kern w:val="0"/>
              </w:rPr>
              <w:t xml:space="preserve"> </w:t>
            </w:r>
            <w:proofErr w:type="spellStart"/>
            <w:r>
              <w:rPr>
                <w:rFonts w:ascii="Times New Roman" w:hAnsi="Times New Roman" w:cs="Times New Roman"/>
                <w:kern w:val="0"/>
              </w:rPr>
              <w:t>Павел</w:t>
            </w:r>
            <w:proofErr w:type="spellEnd"/>
            <w:r>
              <w:rPr>
                <w:rFonts w:ascii="Times New Roman" w:hAnsi="Times New Roman" w:cs="Times New Roman"/>
                <w:kern w:val="0"/>
              </w:rPr>
              <w:t xml:space="preserve"> </w:t>
            </w:r>
            <w:proofErr w:type="spellStart"/>
            <w:r>
              <w:rPr>
                <w:rFonts w:ascii="Times New Roman" w:hAnsi="Times New Roman" w:cs="Times New Roman"/>
                <w:kern w:val="0"/>
              </w:rPr>
              <w:t>Анатолiй</w:t>
            </w:r>
            <w:proofErr w:type="spellEnd"/>
          </w:p>
        </w:tc>
      </w:tr>
      <w:tr w:rsidR="00000000" w14:paraId="6A66F372" w14:textId="77777777">
        <w:tblPrEx>
          <w:tblCellMar>
            <w:top w:w="0" w:type="dxa"/>
            <w:bottom w:w="0" w:type="dxa"/>
          </w:tblCellMar>
        </w:tblPrEx>
        <w:trPr>
          <w:trHeight w:val="200"/>
        </w:trPr>
        <w:tc>
          <w:tcPr>
            <w:tcW w:w="3415" w:type="dxa"/>
            <w:tcBorders>
              <w:top w:val="nil"/>
              <w:left w:val="nil"/>
              <w:bottom w:val="nil"/>
              <w:right w:val="nil"/>
            </w:tcBorders>
          </w:tcPr>
          <w:p w14:paraId="0A421D8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2574AD6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082DE41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6394611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4E5D3FD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0A963C2D"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p w14:paraId="408F4312"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530CD045"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8"/>
          <w:szCs w:val="28"/>
        </w:rPr>
      </w:pPr>
    </w:p>
    <w:p w14:paraId="2D9ED2E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410D36EA"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1. Повне найменування: ПРИВАТНЕ АКЦIОНЕРНЕ ТОВАРИСТВО "ВЕТРОПАК ГОСТОМЕЛЬСЬКИЙ СКЛОЗАВОД"</w:t>
      </w:r>
    </w:p>
    <w:p w14:paraId="330090CA"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37BF70CC"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3. Місцезнаходження: 08290, Київська обл., м. </w:t>
      </w:r>
      <w:proofErr w:type="spellStart"/>
      <w:r>
        <w:rPr>
          <w:rFonts w:ascii="Times New Roman" w:hAnsi="Times New Roman" w:cs="Times New Roman"/>
          <w:kern w:val="0"/>
        </w:rPr>
        <w:t>Iрпiнь</w:t>
      </w:r>
      <w:proofErr w:type="spellEnd"/>
      <w:r>
        <w:rPr>
          <w:rFonts w:ascii="Times New Roman" w:hAnsi="Times New Roman" w:cs="Times New Roman"/>
          <w:kern w:val="0"/>
        </w:rPr>
        <w:t xml:space="preserve"> (смт. Гостомель), площа </w:t>
      </w:r>
      <w:proofErr w:type="spellStart"/>
      <w:r>
        <w:rPr>
          <w:rFonts w:ascii="Times New Roman" w:hAnsi="Times New Roman" w:cs="Times New Roman"/>
          <w:kern w:val="0"/>
        </w:rPr>
        <w:t>Рекунова</w:t>
      </w:r>
      <w:proofErr w:type="spellEnd"/>
      <w:r>
        <w:rPr>
          <w:rFonts w:ascii="Times New Roman" w:hAnsi="Times New Roman" w:cs="Times New Roman"/>
          <w:kern w:val="0"/>
        </w:rPr>
        <w:t>, буд. 2</w:t>
      </w:r>
    </w:p>
    <w:p w14:paraId="46570CAA"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00333888</w:t>
      </w:r>
    </w:p>
    <w:p w14:paraId="148DA556"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(044) 392-41-99</w:t>
      </w:r>
    </w:p>
    <w:p w14:paraId="190C83F9"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hanna.leonenko@vetropack.com</w:t>
      </w:r>
    </w:p>
    <w:p w14:paraId="102FB5FC"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116545D0"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7533F80D"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p w14:paraId="65C01377"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14B7A91B"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766CC11D" w14:textId="77777777">
        <w:tblPrEx>
          <w:tblCellMar>
            <w:top w:w="0" w:type="dxa"/>
            <w:bottom w:w="0" w:type="dxa"/>
          </w:tblCellMar>
        </w:tblPrEx>
        <w:trPr>
          <w:trHeight w:val="300"/>
        </w:trPr>
        <w:tc>
          <w:tcPr>
            <w:tcW w:w="3415" w:type="dxa"/>
            <w:vMerge w:val="restart"/>
            <w:tcBorders>
              <w:top w:val="nil"/>
              <w:left w:val="nil"/>
              <w:bottom w:val="nil"/>
              <w:right w:val="nil"/>
            </w:tcBorders>
          </w:tcPr>
          <w:p w14:paraId="64DF215C"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5F0FBB3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https://www.vetropack.com/uk/pro-kompaniju/lokaciji/gostomel/</w:t>
            </w:r>
          </w:p>
        </w:tc>
        <w:tc>
          <w:tcPr>
            <w:tcW w:w="1885" w:type="dxa"/>
            <w:tcBorders>
              <w:top w:val="nil"/>
              <w:left w:val="nil"/>
              <w:bottom w:val="single" w:sz="6" w:space="0" w:color="auto"/>
              <w:right w:val="nil"/>
            </w:tcBorders>
            <w:vAlign w:val="bottom"/>
          </w:tcPr>
          <w:p w14:paraId="798ECD7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23.04.2026</w:t>
            </w:r>
          </w:p>
        </w:tc>
      </w:tr>
      <w:tr w:rsidR="00000000" w14:paraId="5420107C" w14:textId="77777777">
        <w:tblPrEx>
          <w:tblCellMar>
            <w:top w:w="0" w:type="dxa"/>
            <w:bottom w:w="0" w:type="dxa"/>
          </w:tblCellMar>
        </w:tblPrEx>
        <w:trPr>
          <w:trHeight w:val="300"/>
        </w:trPr>
        <w:tc>
          <w:tcPr>
            <w:tcW w:w="3415" w:type="dxa"/>
            <w:vMerge/>
            <w:tcBorders>
              <w:top w:val="nil"/>
              <w:left w:val="nil"/>
              <w:bottom w:val="nil"/>
              <w:right w:val="nil"/>
            </w:tcBorders>
          </w:tcPr>
          <w:p w14:paraId="45397DFB"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49A2D72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(URL-адреса вебсайту)</w:t>
            </w:r>
          </w:p>
        </w:tc>
        <w:tc>
          <w:tcPr>
            <w:tcW w:w="1885" w:type="dxa"/>
            <w:tcBorders>
              <w:top w:val="nil"/>
              <w:left w:val="nil"/>
              <w:bottom w:val="nil"/>
              <w:right w:val="nil"/>
            </w:tcBorders>
            <w:vAlign w:val="bottom"/>
          </w:tcPr>
          <w:p w14:paraId="0725E71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6D2553CA"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sectPr w:rsidR="00000000">
          <w:footerReference w:type="default" r:id="rId6"/>
          <w:pgSz w:w="11905" w:h="16837"/>
          <w:pgMar w:top="570" w:right="720" w:bottom="570" w:left="720" w:header="708" w:footer="360" w:gutter="0"/>
          <w:pgNumType w:start="1"/>
          <w:cols w:space="720"/>
          <w:noEndnote/>
        </w:sectPr>
      </w:pPr>
    </w:p>
    <w:p w14:paraId="4C0C580E"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14:paraId="109AEBA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прийняття рішення про вчинення значних правочинів</w:t>
      </w:r>
    </w:p>
    <w:p w14:paraId="2250167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1800"/>
        <w:gridCol w:w="1900"/>
        <w:gridCol w:w="2000"/>
        <w:gridCol w:w="2000"/>
        <w:gridCol w:w="2265"/>
      </w:tblGrid>
      <w:tr w:rsidR="00000000" w14:paraId="75F82430"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57B1CDC"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з/п</w:t>
            </w:r>
          </w:p>
        </w:tc>
        <w:tc>
          <w:tcPr>
            <w:tcW w:w="1800" w:type="dxa"/>
            <w:tcBorders>
              <w:top w:val="single" w:sz="6" w:space="0" w:color="auto"/>
              <w:left w:val="single" w:sz="6" w:space="0" w:color="auto"/>
              <w:bottom w:val="single" w:sz="6" w:space="0" w:color="auto"/>
              <w:right w:val="single" w:sz="6" w:space="0" w:color="auto"/>
            </w:tcBorders>
            <w:vAlign w:val="center"/>
          </w:tcPr>
          <w:p w14:paraId="0F0F1C43"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прийняття рішення</w:t>
            </w:r>
          </w:p>
        </w:tc>
        <w:tc>
          <w:tcPr>
            <w:tcW w:w="1900" w:type="dxa"/>
            <w:tcBorders>
              <w:top w:val="single" w:sz="6" w:space="0" w:color="auto"/>
              <w:left w:val="single" w:sz="6" w:space="0" w:color="auto"/>
              <w:bottom w:val="single" w:sz="6" w:space="0" w:color="auto"/>
              <w:right w:val="single" w:sz="6" w:space="0" w:color="auto"/>
            </w:tcBorders>
            <w:vAlign w:val="center"/>
          </w:tcPr>
          <w:p w14:paraId="51BBDF06"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xml:space="preserve">Ринкова вартість предмета правочину, </w:t>
            </w:r>
            <w:proofErr w:type="spellStart"/>
            <w:r>
              <w:rPr>
                <w:rFonts w:ascii="Times New Roman" w:hAnsi="Times New Roman" w:cs="Times New Roman"/>
                <w:b/>
                <w:bCs/>
                <w:kern w:val="0"/>
                <w:sz w:val="20"/>
                <w:szCs w:val="20"/>
              </w:rPr>
              <w:t>тис.грн</w:t>
            </w:r>
            <w:proofErr w:type="spellEnd"/>
          </w:p>
        </w:tc>
        <w:tc>
          <w:tcPr>
            <w:tcW w:w="2000" w:type="dxa"/>
            <w:tcBorders>
              <w:top w:val="single" w:sz="6" w:space="0" w:color="auto"/>
              <w:left w:val="single" w:sz="6" w:space="0" w:color="auto"/>
              <w:bottom w:val="single" w:sz="6" w:space="0" w:color="auto"/>
              <w:right w:val="single" w:sz="6" w:space="0" w:color="auto"/>
            </w:tcBorders>
            <w:vAlign w:val="center"/>
          </w:tcPr>
          <w:p w14:paraId="2F67DB39"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xml:space="preserve">Вартість активів емітента за даними останньої річної фінансової звітності, </w:t>
            </w:r>
            <w:proofErr w:type="spellStart"/>
            <w:r>
              <w:rPr>
                <w:rFonts w:ascii="Times New Roman" w:hAnsi="Times New Roman" w:cs="Times New Roman"/>
                <w:b/>
                <w:bCs/>
                <w:kern w:val="0"/>
                <w:sz w:val="20"/>
                <w:szCs w:val="20"/>
              </w:rPr>
              <w:t>тис.грн</w:t>
            </w:r>
            <w:proofErr w:type="spellEnd"/>
          </w:p>
        </w:tc>
        <w:tc>
          <w:tcPr>
            <w:tcW w:w="2000" w:type="dxa"/>
            <w:tcBorders>
              <w:top w:val="single" w:sz="6" w:space="0" w:color="auto"/>
              <w:left w:val="single" w:sz="6" w:space="0" w:color="auto"/>
              <w:bottom w:val="single" w:sz="6" w:space="0" w:color="auto"/>
              <w:right w:val="single" w:sz="6" w:space="0" w:color="auto"/>
            </w:tcBorders>
            <w:vAlign w:val="center"/>
          </w:tcPr>
          <w:p w14:paraId="3E51DEB7"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Співвідношення ринкової вартості майна або послуг, що є предметом правочину, до вартості активів емітента за даними останньої річної фінансової звітності (у відсотках)</w:t>
            </w:r>
          </w:p>
        </w:tc>
        <w:tc>
          <w:tcPr>
            <w:tcW w:w="2265" w:type="dxa"/>
            <w:tcBorders>
              <w:top w:val="single" w:sz="6" w:space="0" w:color="auto"/>
              <w:left w:val="single" w:sz="6" w:space="0" w:color="auto"/>
              <w:bottom w:val="single" w:sz="6" w:space="0" w:color="auto"/>
            </w:tcBorders>
            <w:vAlign w:val="center"/>
          </w:tcPr>
          <w:p w14:paraId="65D9F77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b/>
                <w:bCs/>
                <w:kern w:val="0"/>
                <w:sz w:val="20"/>
                <w:szCs w:val="20"/>
              </w:rPr>
              <w:t>URL-адреса власного вебсайту, на якому розміщений витяг з протоколу загальних зборів акціонерів / засідання ради, на яких/якому прийняте рішення (для публічних акціонерних товариств)</w:t>
            </w:r>
          </w:p>
        </w:tc>
      </w:tr>
      <w:tr w:rsidR="00000000" w14:paraId="30DDD9C3"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B9144F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800" w:type="dxa"/>
            <w:tcBorders>
              <w:top w:val="single" w:sz="6" w:space="0" w:color="auto"/>
              <w:left w:val="single" w:sz="6" w:space="0" w:color="auto"/>
              <w:bottom w:val="single" w:sz="6" w:space="0" w:color="auto"/>
              <w:right w:val="single" w:sz="6" w:space="0" w:color="auto"/>
            </w:tcBorders>
            <w:vAlign w:val="center"/>
          </w:tcPr>
          <w:p w14:paraId="1F0F979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1900" w:type="dxa"/>
            <w:tcBorders>
              <w:top w:val="single" w:sz="6" w:space="0" w:color="auto"/>
              <w:left w:val="single" w:sz="6" w:space="0" w:color="auto"/>
              <w:bottom w:val="single" w:sz="6" w:space="0" w:color="auto"/>
              <w:right w:val="single" w:sz="6" w:space="0" w:color="auto"/>
            </w:tcBorders>
            <w:vAlign w:val="center"/>
          </w:tcPr>
          <w:p w14:paraId="3436555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2000" w:type="dxa"/>
            <w:tcBorders>
              <w:top w:val="single" w:sz="6" w:space="0" w:color="auto"/>
              <w:left w:val="single" w:sz="6" w:space="0" w:color="auto"/>
              <w:bottom w:val="single" w:sz="6" w:space="0" w:color="auto"/>
              <w:right w:val="single" w:sz="6" w:space="0" w:color="auto"/>
            </w:tcBorders>
            <w:vAlign w:val="center"/>
          </w:tcPr>
          <w:p w14:paraId="2375B9C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c>
          <w:tcPr>
            <w:tcW w:w="2000" w:type="dxa"/>
            <w:tcBorders>
              <w:top w:val="single" w:sz="6" w:space="0" w:color="auto"/>
              <w:left w:val="single" w:sz="6" w:space="0" w:color="auto"/>
              <w:bottom w:val="single" w:sz="6" w:space="0" w:color="auto"/>
              <w:right w:val="single" w:sz="6" w:space="0" w:color="auto"/>
            </w:tcBorders>
            <w:vAlign w:val="center"/>
          </w:tcPr>
          <w:p w14:paraId="766433A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w:t>
            </w:r>
          </w:p>
        </w:tc>
        <w:tc>
          <w:tcPr>
            <w:tcW w:w="2265" w:type="dxa"/>
            <w:tcBorders>
              <w:top w:val="single" w:sz="6" w:space="0" w:color="auto"/>
              <w:left w:val="single" w:sz="6" w:space="0" w:color="auto"/>
              <w:bottom w:val="single" w:sz="6" w:space="0" w:color="auto"/>
            </w:tcBorders>
            <w:vAlign w:val="center"/>
          </w:tcPr>
          <w:p w14:paraId="7D1F326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6</w:t>
            </w:r>
          </w:p>
        </w:tc>
      </w:tr>
      <w:tr w:rsidR="00000000" w14:paraId="7C84CEC7"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14:paraId="49F7CBC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800" w:type="dxa"/>
            <w:tcBorders>
              <w:top w:val="single" w:sz="6" w:space="0" w:color="auto"/>
              <w:left w:val="single" w:sz="6" w:space="0" w:color="auto"/>
              <w:bottom w:val="single" w:sz="6" w:space="0" w:color="auto"/>
              <w:right w:val="single" w:sz="6" w:space="0" w:color="auto"/>
            </w:tcBorders>
          </w:tcPr>
          <w:p w14:paraId="42527FF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23.04.2026</w:t>
            </w:r>
          </w:p>
        </w:tc>
        <w:tc>
          <w:tcPr>
            <w:tcW w:w="1900" w:type="dxa"/>
            <w:tcBorders>
              <w:top w:val="single" w:sz="6" w:space="0" w:color="auto"/>
              <w:left w:val="single" w:sz="6" w:space="0" w:color="auto"/>
              <w:bottom w:val="single" w:sz="6" w:space="0" w:color="auto"/>
              <w:right w:val="single" w:sz="6" w:space="0" w:color="auto"/>
            </w:tcBorders>
          </w:tcPr>
          <w:p w14:paraId="72050B2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560 000</w:t>
            </w:r>
          </w:p>
        </w:tc>
        <w:tc>
          <w:tcPr>
            <w:tcW w:w="2000" w:type="dxa"/>
            <w:tcBorders>
              <w:top w:val="single" w:sz="6" w:space="0" w:color="auto"/>
              <w:left w:val="single" w:sz="6" w:space="0" w:color="auto"/>
              <w:bottom w:val="single" w:sz="6" w:space="0" w:color="auto"/>
              <w:right w:val="single" w:sz="6" w:space="0" w:color="auto"/>
            </w:tcBorders>
          </w:tcPr>
          <w:p w14:paraId="468A269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1 857 110</w:t>
            </w:r>
          </w:p>
        </w:tc>
        <w:tc>
          <w:tcPr>
            <w:tcW w:w="2000" w:type="dxa"/>
            <w:tcBorders>
              <w:top w:val="single" w:sz="6" w:space="0" w:color="auto"/>
              <w:left w:val="single" w:sz="6" w:space="0" w:color="auto"/>
              <w:bottom w:val="single" w:sz="6" w:space="0" w:color="auto"/>
              <w:right w:val="single" w:sz="6" w:space="0" w:color="auto"/>
            </w:tcBorders>
          </w:tcPr>
          <w:p w14:paraId="3CF6807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30,15</w:t>
            </w:r>
          </w:p>
        </w:tc>
        <w:tc>
          <w:tcPr>
            <w:tcW w:w="2265" w:type="dxa"/>
            <w:tcBorders>
              <w:top w:val="single" w:sz="6" w:space="0" w:color="auto"/>
              <w:left w:val="single" w:sz="6" w:space="0" w:color="auto"/>
              <w:bottom w:val="single" w:sz="6" w:space="0" w:color="auto"/>
            </w:tcBorders>
          </w:tcPr>
          <w:p w14:paraId="57ABFFE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r>
      <w:tr w:rsidR="00000000" w14:paraId="54EE5C10" w14:textId="77777777">
        <w:tblPrEx>
          <w:tblCellMar>
            <w:top w:w="0" w:type="dxa"/>
            <w:bottom w:w="0" w:type="dxa"/>
          </w:tblCellMar>
        </w:tblPrEx>
        <w:trPr>
          <w:trHeight w:val="300"/>
        </w:trPr>
        <w:tc>
          <w:tcPr>
            <w:tcW w:w="10465" w:type="dxa"/>
            <w:gridSpan w:val="6"/>
            <w:tcBorders>
              <w:top w:val="single" w:sz="6" w:space="0" w:color="auto"/>
              <w:bottom w:val="single" w:sz="6" w:space="0" w:color="auto"/>
            </w:tcBorders>
            <w:vAlign w:val="center"/>
          </w:tcPr>
          <w:p w14:paraId="0DFD994A"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643F6B13" w14:textId="77777777">
        <w:tblPrEx>
          <w:tblCellMar>
            <w:top w:w="0" w:type="dxa"/>
            <w:bottom w:w="0" w:type="dxa"/>
          </w:tblCellMar>
        </w:tblPrEx>
        <w:trPr>
          <w:trHeight w:val="300"/>
        </w:trPr>
        <w:tc>
          <w:tcPr>
            <w:tcW w:w="10465" w:type="dxa"/>
            <w:gridSpan w:val="6"/>
            <w:tcBorders>
              <w:top w:val="single" w:sz="6" w:space="0" w:color="auto"/>
              <w:bottom w:val="single" w:sz="6" w:space="0" w:color="auto"/>
            </w:tcBorders>
            <w:vAlign w:val="center"/>
          </w:tcPr>
          <w:p w14:paraId="574EA3C8"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Єдиним акціонером Товариства </w:t>
            </w:r>
            <w:proofErr w:type="spellStart"/>
            <w:r>
              <w:rPr>
                <w:rFonts w:ascii="Times New Roman" w:hAnsi="Times New Roman" w:cs="Times New Roman"/>
                <w:kern w:val="0"/>
                <w:sz w:val="20"/>
                <w:szCs w:val="20"/>
              </w:rPr>
              <w:t>Vetropack</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Austria</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Holding</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Aktiengesellschaft</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Ветропак</w:t>
            </w:r>
            <w:proofErr w:type="spellEnd"/>
            <w:r>
              <w:rPr>
                <w:rFonts w:ascii="Times New Roman" w:hAnsi="Times New Roman" w:cs="Times New Roman"/>
                <w:kern w:val="0"/>
                <w:sz w:val="20"/>
                <w:szCs w:val="20"/>
              </w:rPr>
              <w:t xml:space="preserve"> Австрія Холдинг </w:t>
            </w:r>
            <w:proofErr w:type="spellStart"/>
            <w:r>
              <w:rPr>
                <w:rFonts w:ascii="Times New Roman" w:hAnsi="Times New Roman" w:cs="Times New Roman"/>
                <w:kern w:val="0"/>
                <w:sz w:val="20"/>
                <w:szCs w:val="20"/>
              </w:rPr>
              <w:t>Акціенгезелльшафт</w:t>
            </w:r>
            <w:proofErr w:type="spellEnd"/>
            <w:r>
              <w:rPr>
                <w:rFonts w:ascii="Times New Roman" w:hAnsi="Times New Roman" w:cs="Times New Roman"/>
                <w:kern w:val="0"/>
                <w:sz w:val="20"/>
                <w:szCs w:val="20"/>
              </w:rPr>
              <w:t>) згідно із ст. 108 Закону України "Про акціонерні товариства" 23.04.2026 прийнято рішення схвалити значний правочин, укладений Товариством 01.07.2021 з Приватним акціонерним товариством «АБIНБЕВ ЕФЕС Україна» (ідентифікаційний код юридичної особи 30965655).</w:t>
            </w:r>
          </w:p>
          <w:p w14:paraId="7EEE24EA"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Предмет правочину: виготовлення та поставка скляних пивних пляшок.</w:t>
            </w:r>
          </w:p>
          <w:p w14:paraId="110B2F7A"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Ранкова вартість предмету правочину: 560 000,00 тис. грн.</w:t>
            </w:r>
          </w:p>
          <w:p w14:paraId="75292892"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Вартість активів за даними останньої річної фінансової звітності: 1 857 110,00 грн.</w:t>
            </w:r>
          </w:p>
          <w:p w14:paraId="47064D4B"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Співвідношення ринкової вартості предмету правочину до вартості активів за даними останньої річної фінансової звітності: 30,15%.</w:t>
            </w:r>
          </w:p>
          <w:p w14:paraId="57D0119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Додаткові критерії для віднесення правочину до значного правочину, не передбачені законодавством, у статуті Товариства не визначені.</w:t>
            </w:r>
          </w:p>
        </w:tc>
      </w:tr>
    </w:tbl>
    <w:p w14:paraId="6FFBB1F5" w14:textId="77777777" w:rsidR="00DE319B" w:rsidRDefault="00DE319B"/>
    <w:sectPr w:rsidR="00DE319B">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8BDC" w14:textId="77777777" w:rsidR="00DE319B" w:rsidRDefault="00DE319B">
      <w:pPr>
        <w:spacing w:after="0" w:line="240" w:lineRule="auto"/>
      </w:pPr>
      <w:r>
        <w:separator/>
      </w:r>
    </w:p>
  </w:endnote>
  <w:endnote w:type="continuationSeparator" w:id="0">
    <w:p w14:paraId="355F5490" w14:textId="77777777" w:rsidR="00DE319B" w:rsidRDefault="00DE3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8EC68" w14:textId="77777777" w:rsidR="00000000"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sidR="008D057F">
      <w:rPr>
        <w:rFonts w:ascii="Times New Roman" w:hAnsi="Times New Roman" w:cs="Times New Roman"/>
        <w:kern w:val="0"/>
        <w:sz w:val="20"/>
        <w:szCs w:val="20"/>
        <w:lang w:val="ru-RU"/>
      </w:rPr>
      <w:fldChar w:fldCharType="separate"/>
    </w:r>
    <w:r w:rsidR="008D057F">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BACFA" w14:textId="77777777" w:rsidR="00DE319B" w:rsidRDefault="00DE319B">
      <w:pPr>
        <w:spacing w:after="0" w:line="240" w:lineRule="auto"/>
      </w:pPr>
      <w:r>
        <w:separator/>
      </w:r>
    </w:p>
  </w:footnote>
  <w:footnote w:type="continuationSeparator" w:id="0">
    <w:p w14:paraId="0777E6F2" w14:textId="77777777" w:rsidR="00DE319B" w:rsidRDefault="00DE31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57F"/>
    <w:rsid w:val="005614D0"/>
    <w:rsid w:val="008D057F"/>
    <w:rsid w:val="00DE319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B15506"/>
  <w14:defaultImageDpi w14:val="0"/>
  <w15:docId w15:val="{617B2345-206E-40C0-9737-97BF59F44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2509</Words>
  <Characters>1431</Characters>
  <Application>Microsoft Office Word</Application>
  <DocSecurity>0</DocSecurity>
  <Lines>11</Lines>
  <Paragraphs>7</Paragraphs>
  <ScaleCrop>false</ScaleCrop>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Олена Ступак</cp:lastModifiedBy>
  <cp:revision>2</cp:revision>
  <dcterms:created xsi:type="dcterms:W3CDTF">2026-04-23T14:49:00Z</dcterms:created>
  <dcterms:modified xsi:type="dcterms:W3CDTF">2026-04-23T14:49:00Z</dcterms:modified>
</cp:coreProperties>
</file>